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仿宋" w:hAnsi="仿宋" w:eastAsia="仿宋" w:cs="仿宋"/>
          <w:b w:val="0"/>
          <w:i w:val="0"/>
          <w:caps w:val="0"/>
          <w:color w:val="3E3E3E"/>
          <w:spacing w:val="3"/>
          <w:sz w:val="36"/>
          <w:szCs w:val="36"/>
          <w:lang w:val="en-US" w:eastAsia="zh-CN"/>
        </w:rPr>
      </w:pPr>
      <w:r>
        <w:rPr>
          <w:rFonts w:hint="eastAsia" w:ascii="仿宋" w:hAnsi="仿宋" w:eastAsia="仿宋" w:cs="仿宋"/>
          <w:b w:val="0"/>
          <w:i w:val="0"/>
          <w:caps w:val="0"/>
          <w:color w:val="3E3E3E"/>
          <w:spacing w:val="3"/>
          <w:sz w:val="36"/>
          <w:szCs w:val="36"/>
          <w:lang w:val="en-US" w:eastAsia="zh-CN"/>
        </w:rPr>
        <w:t>关于投资者适当性管理补充材料说明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00" w:firstLineChars="200"/>
        <w:jc w:val="left"/>
        <w:rPr>
          <w:rFonts w:hint="eastAsia" w:ascii="仿宋" w:hAnsi="仿宋" w:eastAsia="仿宋" w:cs="仿宋"/>
          <w:b/>
          <w:bCs/>
          <w:i w:val="0"/>
          <w:caps w:val="0"/>
          <w:color w:val="auto"/>
          <w:spacing w:val="0"/>
          <w:sz w:val="30"/>
          <w:szCs w:val="30"/>
        </w:rPr>
      </w:pPr>
      <w:r>
        <w:rPr>
          <w:rFonts w:hint="eastAsia" w:ascii="仿宋" w:hAnsi="仿宋" w:eastAsia="仿宋" w:cs="仿宋"/>
          <w:b w:val="0"/>
          <w:bCs w:val="0"/>
          <w:i w:val="0"/>
          <w:caps w:val="0"/>
          <w:color w:val="auto"/>
          <w:spacing w:val="0"/>
          <w:sz w:val="30"/>
          <w:szCs w:val="30"/>
        </w:rPr>
        <w:t>按照《区域性股权市场监督管理试行办法》（证监会第132号令）有关</w:t>
      </w:r>
      <w:r>
        <w:rPr>
          <w:rFonts w:hint="eastAsia" w:ascii="仿宋" w:hAnsi="仿宋" w:eastAsia="仿宋" w:cs="仿宋"/>
          <w:b w:val="0"/>
          <w:bCs w:val="0"/>
          <w:i w:val="0"/>
          <w:caps w:val="0"/>
          <w:color w:val="auto"/>
          <w:spacing w:val="0"/>
          <w:sz w:val="30"/>
          <w:szCs w:val="30"/>
          <w:lang w:val="en-US" w:eastAsia="zh-CN"/>
        </w:rPr>
        <w:t>规定</w:t>
      </w:r>
      <w:r>
        <w:rPr>
          <w:rFonts w:hint="eastAsia" w:ascii="仿宋" w:hAnsi="仿宋" w:eastAsia="仿宋" w:cs="仿宋"/>
          <w:b w:val="0"/>
          <w:bCs w:val="0"/>
          <w:i w:val="0"/>
          <w:caps w:val="0"/>
          <w:color w:val="auto"/>
          <w:spacing w:val="0"/>
          <w:sz w:val="30"/>
          <w:szCs w:val="30"/>
        </w:rPr>
        <w:t>，</w:t>
      </w:r>
      <w:r>
        <w:rPr>
          <w:rFonts w:hint="eastAsia" w:ascii="仿宋" w:hAnsi="仿宋" w:eastAsia="仿宋" w:cs="仿宋"/>
          <w:b w:val="0"/>
          <w:bCs w:val="0"/>
          <w:i w:val="0"/>
          <w:caps w:val="0"/>
          <w:color w:val="auto"/>
          <w:spacing w:val="0"/>
          <w:sz w:val="30"/>
          <w:szCs w:val="30"/>
          <w:lang w:val="en-US" w:eastAsia="zh-CN"/>
        </w:rPr>
        <w:t>对前期已开户投资者资格需重新认证，补充认证的材料如下</w:t>
      </w:r>
      <w:r>
        <w:rPr>
          <w:rFonts w:hint="eastAsia" w:ascii="仿宋" w:hAnsi="仿宋" w:eastAsia="仿宋" w:cs="仿宋"/>
          <w:b w:val="0"/>
          <w:bCs w:val="0"/>
          <w:i w:val="0"/>
          <w:caps w:val="0"/>
          <w:color w:val="auto"/>
          <w:spacing w:val="0"/>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 w:hAnsi="仿宋" w:eastAsia="仿宋" w:cs="仿宋"/>
          <w:b w:val="0"/>
          <w:bCs w:val="0"/>
          <w:i w:val="0"/>
          <w:caps w:val="0"/>
          <w:color w:val="auto"/>
          <w:spacing w:val="0"/>
          <w:sz w:val="30"/>
          <w:szCs w:val="30"/>
          <w:lang w:val="en-US" w:eastAsia="zh-CN"/>
        </w:rPr>
      </w:pPr>
      <w:r>
        <w:rPr>
          <w:rFonts w:hint="eastAsia" w:ascii="仿宋" w:hAnsi="仿宋" w:eastAsia="仿宋" w:cs="仿宋"/>
          <w:b w:val="0"/>
          <w:bCs w:val="0"/>
          <w:i w:val="0"/>
          <w:caps w:val="0"/>
          <w:color w:val="auto"/>
          <w:spacing w:val="0"/>
          <w:sz w:val="30"/>
          <w:szCs w:val="30"/>
          <w:lang w:val="en-US" w:eastAsia="zh-CN"/>
        </w:rPr>
        <w:t xml:space="preserve">   一、机构投资者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bCs w:val="0"/>
          <w:i w:val="0"/>
          <w:caps w:val="0"/>
          <w:color w:val="auto"/>
          <w:spacing w:val="0"/>
          <w:sz w:val="30"/>
          <w:szCs w:val="30"/>
          <w:lang w:val="en-US" w:eastAsia="zh-CN"/>
        </w:rPr>
      </w:pPr>
      <w:r>
        <w:rPr>
          <w:rFonts w:hint="eastAsia" w:ascii="仿宋" w:hAnsi="仿宋" w:eastAsia="仿宋" w:cs="仿宋"/>
          <w:b w:val="0"/>
          <w:bCs w:val="0"/>
          <w:i w:val="0"/>
          <w:caps w:val="0"/>
          <w:color w:val="auto"/>
          <w:spacing w:val="0"/>
          <w:sz w:val="30"/>
          <w:szCs w:val="30"/>
          <w:lang w:val="en-US" w:eastAsia="zh-CN"/>
        </w:rPr>
        <w:t>1.证券公司、期货公司、基金管理公司及其子公</w:t>
      </w:r>
      <w:bookmarkStart w:id="0" w:name="_GoBack"/>
      <w:bookmarkEnd w:id="0"/>
      <w:r>
        <w:rPr>
          <w:rFonts w:hint="eastAsia" w:ascii="仿宋" w:hAnsi="仿宋" w:eastAsia="仿宋" w:cs="仿宋"/>
          <w:b w:val="0"/>
          <w:bCs w:val="0"/>
          <w:i w:val="0"/>
          <w:caps w:val="0"/>
          <w:color w:val="auto"/>
          <w:spacing w:val="0"/>
          <w:sz w:val="30"/>
          <w:szCs w:val="30"/>
          <w:lang w:val="en-US" w:eastAsia="zh-CN"/>
        </w:rPr>
        <w:t>司、商业银行、保险公司、信托公司、财务公司等依法经批准设立的金融机构，以及依法备案或者登记的证券公司子公司、期货公司子公司、私募基金管理人补充材料如下：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（1）《机构投资者承诺书》；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2.证券公司资产管理产品、基金管理公司及其子公司产品、期货公司资产管理产品、银行理财产品、保险产品、信托产品等金融机构依法管理的投资性计划；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bCs w:val="0"/>
          <w:i w:val="0"/>
          <w:caps w:val="0"/>
          <w:color w:val="auto"/>
          <w:spacing w:val="0"/>
          <w:kern w:val="0"/>
          <w:sz w:val="30"/>
          <w:szCs w:val="30"/>
          <w:lang w:val="en-US" w:eastAsia="zh-CN" w:bidi="ar"/>
        </w:rPr>
      </w:pPr>
      <w:r>
        <w:rPr>
          <w:rFonts w:hint="eastAsia" w:ascii="仿宋" w:hAnsi="仿宋" w:eastAsia="仿宋" w:cs="仿宋"/>
          <w:b w:val="0"/>
          <w:bCs w:val="0"/>
          <w:i w:val="0"/>
          <w:caps w:val="0"/>
          <w:color w:val="auto"/>
          <w:spacing w:val="0"/>
          <w:kern w:val="0"/>
          <w:sz w:val="30"/>
          <w:szCs w:val="30"/>
          <w:lang w:val="en-US" w:eastAsia="zh-CN" w:bidi="ar"/>
        </w:rPr>
        <w:t>社会保障基金，企业年金等养老基金，慈善基金等社会公益基金，以及依法备案的私募基金补充材料如下：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（1）在工商管理机构备案的合伙协议等的复印件加盖公章；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（2）在证券投资基金业协会备案的提供证明文件；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（3）未在证券投资基金业协会备案的，最终持有人的合格投资者证明及最近三个月内任意一个月的资产负债表（净资产大于 50 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000000" w:themeColor="text1"/>
          <w:spacing w:val="0"/>
          <w:sz w:val="30"/>
          <w:szCs w:val="30"/>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0"/>
          <w:szCs w:val="30"/>
          <w:lang w:val="en-US" w:eastAsia="zh-CN"/>
          <w14:textFill>
            <w14:solidFill>
              <w14:schemeClr w14:val="tx1"/>
            </w14:solidFill>
          </w14:textFill>
        </w:rPr>
        <w:t>（4）《特殊机构投资者承诺书》；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（5）《投资者开户协议》；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bCs/>
          <w:i w:val="0"/>
          <w:caps w:val="0"/>
          <w:color w:val="auto"/>
          <w:spacing w:val="0"/>
          <w:sz w:val="30"/>
          <w:szCs w:val="30"/>
          <w:lang w:val="en-US" w:eastAsia="zh-CN"/>
        </w:rPr>
      </w:pPr>
      <w:r>
        <w:rPr>
          <w:rFonts w:hint="eastAsia" w:ascii="仿宋" w:hAnsi="仿宋" w:eastAsia="仿宋" w:cs="仿宋"/>
          <w:b w:val="0"/>
          <w:bCs w:val="0"/>
          <w:i w:val="0"/>
          <w:caps w:val="0"/>
          <w:color w:val="auto"/>
          <w:spacing w:val="0"/>
          <w:sz w:val="30"/>
          <w:szCs w:val="30"/>
          <w:lang w:val="en-US" w:eastAsia="zh-CN"/>
        </w:rPr>
        <w:t>3.依法设立且净资产大于人民币 50 万元的法人或者其他组织补充材料如下：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（1）最近三个月内任意一个月的净资产不低于人民币 50 万元的资产负债表。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（2）《机构投资者承诺书》；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（3）《投资者开户协议》；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bCs w:val="0"/>
          <w:i w:val="0"/>
          <w:caps w:val="0"/>
          <w:color w:val="auto"/>
          <w:spacing w:val="0"/>
          <w:sz w:val="30"/>
          <w:szCs w:val="30"/>
          <w:lang w:val="en-US" w:eastAsia="zh-CN"/>
        </w:rPr>
      </w:pPr>
      <w:r>
        <w:rPr>
          <w:rFonts w:hint="eastAsia" w:ascii="仿宋" w:hAnsi="仿宋" w:eastAsia="仿宋" w:cs="仿宋"/>
          <w:b w:val="0"/>
          <w:bCs w:val="0"/>
          <w:i w:val="0"/>
          <w:caps w:val="0"/>
          <w:color w:val="auto"/>
          <w:spacing w:val="0"/>
          <w:sz w:val="30"/>
          <w:szCs w:val="30"/>
          <w:lang w:val="en-US" w:eastAsia="zh-CN"/>
        </w:rPr>
        <w:t>二、自然人投资者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bCs w:val="0"/>
          <w:i w:val="0"/>
          <w:caps w:val="0"/>
          <w:color w:val="auto"/>
          <w:spacing w:val="0"/>
          <w:sz w:val="30"/>
          <w:szCs w:val="30"/>
          <w:lang w:val="en-US" w:eastAsia="zh-CN"/>
        </w:rPr>
        <w:t>最近三个月内持有金融资产价值不低于人民币 50 万元，且具有2年以上金融产品投资经历或者2年以上金融行业及相关工作经历的自然人投资者补充材料如下：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1.情况一：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前期同时持有中心多笔债券累计或持有一笔超过50万（包含50万）的投资者提供的材料：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（1）《自然人投资者承诺书》；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2.情况二：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持有中心债券（包含三个月内本息已兑付的债券）不足50万的投资者需提供的材料：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（1）提供个人名下3个月内金融资产加中心债券总额不低于人民币50万元的证明；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w:t>
      </w:r>
      <w:r>
        <w:rPr>
          <w:rFonts w:hint="eastAsia" w:ascii="仿宋" w:hAnsi="仿宋" w:eastAsia="仿宋" w:cs="仿宋"/>
          <w:b w:val="0"/>
          <w:i w:val="0"/>
          <w:caps w:val="0"/>
          <w:color w:val="000000" w:themeColor="text1"/>
          <w:spacing w:val="0"/>
          <w:sz w:val="30"/>
          <w:szCs w:val="30"/>
          <w:lang w:val="en-US" w:eastAsia="zh-CN"/>
          <w14:textFill>
            <w14:solidFill>
              <w14:schemeClr w14:val="tx1"/>
            </w14:solidFill>
          </w14:textFill>
        </w:rPr>
        <w:t>《自然人投资者承诺书》</w:t>
      </w:r>
      <w:r>
        <w:rPr>
          <w:rFonts w:hint="eastAsia" w:ascii="仿宋" w:hAnsi="仿宋" w:eastAsia="仿宋" w:cs="仿宋"/>
          <w:b w:val="0"/>
          <w:i w:val="0"/>
          <w:caps w:val="0"/>
          <w:color w:val="auto"/>
          <w:spacing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（3）《投资者开户协议》；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3.情况三：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无持有中心债券的投资者需提供的材料：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（1）提供个人名下3个月内各类金融资产总额不低于人民币50万元的证明；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（2）《自然人投资者承诺书》；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i w:val="0"/>
          <w:caps w:val="0"/>
          <w:color w:val="auto"/>
          <w:spacing w:val="0"/>
          <w:sz w:val="30"/>
          <w:szCs w:val="30"/>
          <w:lang w:val="en-US" w:eastAsia="zh-CN"/>
        </w:rPr>
      </w:pPr>
      <w:r>
        <w:rPr>
          <w:rFonts w:hint="eastAsia" w:ascii="仿宋" w:hAnsi="仿宋" w:eastAsia="仿宋" w:cs="仿宋"/>
          <w:b w:val="0"/>
          <w:i w:val="0"/>
          <w:caps w:val="0"/>
          <w:color w:val="auto"/>
          <w:spacing w:val="0"/>
          <w:sz w:val="30"/>
          <w:szCs w:val="30"/>
          <w:lang w:val="en-US" w:eastAsia="zh-CN"/>
        </w:rPr>
        <w:t>（3）《投资者开户协议》；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仿宋" w:hAnsi="仿宋" w:eastAsia="仿宋" w:cs="仿宋"/>
          <w:b w:val="0"/>
          <w:bCs w:val="0"/>
          <w:i w:val="0"/>
          <w:caps w:val="0"/>
          <w:color w:val="3E3E3E"/>
          <w:spacing w:val="3"/>
          <w:sz w:val="30"/>
          <w:szCs w:val="30"/>
        </w:rPr>
      </w:pPr>
      <w:r>
        <w:rPr>
          <w:rFonts w:hint="eastAsia" w:ascii="仿宋" w:hAnsi="仿宋" w:eastAsia="仿宋" w:cs="仿宋"/>
          <w:b w:val="0"/>
          <w:bCs w:val="0"/>
          <w:i w:val="0"/>
          <w:caps w:val="0"/>
          <w:color w:val="3E3E3E"/>
          <w:spacing w:val="3"/>
          <w:sz w:val="30"/>
          <w:szCs w:val="30"/>
          <w:lang w:val="en-US" w:eastAsia="zh-CN"/>
        </w:rPr>
        <w:t>金融资产</w:t>
      </w:r>
      <w:r>
        <w:rPr>
          <w:rFonts w:hint="eastAsia" w:ascii="仿宋" w:hAnsi="仿宋" w:eastAsia="仿宋" w:cs="仿宋"/>
          <w:b w:val="0"/>
          <w:bCs w:val="0"/>
          <w:i w:val="0"/>
          <w:caps w:val="0"/>
          <w:color w:val="3E3E3E"/>
          <w:spacing w:val="3"/>
          <w:sz w:val="30"/>
          <w:szCs w:val="30"/>
        </w:rPr>
        <w:t>证明类型（包含但不限于以下类型）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1</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银行存款证明：中国境内银行本、外币定、活期存折、存单、交流流水原件，网银账户查询结果原件。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2</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股票资产证明：证券营业部出具的对账单原件，交易系统查询结果原件。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3</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债券资产证明：银行或证券公司出具的国债、企业债、公司债、可转债等证明文件原件。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4</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基金资产证明：基金公司出具的基金份额证明文件原件，交易系统查询结果原件。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5</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资管计划资产证明：资管机构出具的认购确认函原件。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6</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信托计划资产证明：信托公司出具的认购确认函原件。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7</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私募基金资产证明：私募基金管理人出具的认购确认函原件。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8</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保险资产证明：保险公司开具的保险单现金价值总金额的证明文件原件。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9</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期货权益证明：期货公司出具的交易结算单原件，交易系统查询结果原件。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10</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黄金资产证明：银行出具的纸黄金证明文件原件。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12" w:firstLineChars="200"/>
        <w:jc w:val="left"/>
        <w:textAlignment w:val="auto"/>
        <w:outlineLvl w:val="9"/>
        <w:rPr>
          <w:rFonts w:hint="eastAsia" w:ascii="仿宋" w:hAnsi="仿宋" w:eastAsia="仿宋" w:cs="仿宋"/>
          <w:b w:val="0"/>
          <w:i w:val="0"/>
          <w:caps w:val="0"/>
          <w:color w:val="3E3E3E"/>
          <w:spacing w:val="3"/>
          <w:sz w:val="30"/>
          <w:szCs w:val="30"/>
        </w:rPr>
      </w:pPr>
      <w:r>
        <w:rPr>
          <w:rFonts w:hint="eastAsia" w:ascii="仿宋" w:hAnsi="仿宋" w:eastAsia="仿宋" w:cs="仿宋"/>
          <w:b w:val="0"/>
          <w:i w:val="0"/>
          <w:caps w:val="0"/>
          <w:color w:val="3E3E3E"/>
          <w:spacing w:val="3"/>
          <w:sz w:val="30"/>
          <w:szCs w:val="30"/>
        </w:rPr>
        <w:t>11</w:t>
      </w:r>
      <w:r>
        <w:rPr>
          <w:rFonts w:hint="eastAsia" w:ascii="仿宋" w:hAnsi="仿宋" w:eastAsia="仿宋" w:cs="仿宋"/>
          <w:b w:val="0"/>
          <w:i w:val="0"/>
          <w:caps w:val="0"/>
          <w:color w:val="3E3E3E"/>
          <w:spacing w:val="3"/>
          <w:sz w:val="30"/>
          <w:szCs w:val="30"/>
          <w:lang w:eastAsia="zh-CN"/>
        </w:rPr>
        <w:t>.</w:t>
      </w:r>
      <w:r>
        <w:rPr>
          <w:rFonts w:hint="eastAsia" w:ascii="仿宋" w:hAnsi="仿宋" w:eastAsia="仿宋" w:cs="仿宋"/>
          <w:b w:val="0"/>
          <w:i w:val="0"/>
          <w:caps w:val="0"/>
          <w:color w:val="3E3E3E"/>
          <w:spacing w:val="3"/>
          <w:sz w:val="30"/>
          <w:szCs w:val="30"/>
        </w:rPr>
        <w:t>其他理财产品资产证明：银行、信托公司、资管公司等出具的资产证明文件原件。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少女文字W5(P)">
    <w:panose1 w:val="040F0500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中國龍豪隸書">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黑体">
    <w:panose1 w:val="02010609060101010101"/>
    <w:charset w:val="34"/>
    <w:family w:val="modern"/>
    <w:pitch w:val="default"/>
    <w:sig w:usb0="800002BF" w:usb1="38CF7CFA" w:usb2="00000016" w:usb3="00000000" w:csb0="00040001" w:csb1="00000000"/>
  </w:font>
  <w:font w:name="Arial Unicode MS">
    <w:panose1 w:val="020B0604020202020204"/>
    <w:charset w:val="34"/>
    <w:family w:val="swiss"/>
    <w:pitch w:val="default"/>
    <w:sig w:usb0="FFFFFFFF" w:usb1="E9FFFFFF" w:usb2="0000003F" w:usb3="00000000" w:csb0="603F01FF" w:csb1="FFFF0000"/>
  </w:font>
  <w:font w:name="中國龍淡古體">
    <w:panose1 w:val="0201060900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D1998"/>
    <w:rsid w:val="75BD1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2017-08-02T07:00:00Z</dcterms:created>
  <dc:creator>Bｓｓ８８</dc:creator>
  <cp:lastModifiedBy>Bｓｓ８８</cp:lastModifiedBy>
  <dcterms:modified xsi:type="dcterms:W3CDTF">2017-08-02T07:05:35Z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