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40"/>
        </w:rPr>
      </w:pPr>
      <w:bookmarkStart w:id="0" w:name="_GoBack"/>
      <w:r>
        <w:rPr>
          <w:rFonts w:hint="eastAsia" w:ascii="仿宋" w:hAnsi="仿宋" w:eastAsia="仿宋" w:cs="仿宋"/>
          <w:b/>
          <w:bCs/>
          <w:sz w:val="32"/>
          <w:szCs w:val="40"/>
        </w:rPr>
        <w:t>支持县域民营经济发展产品及服务大赛</w:t>
      </w:r>
    </w:p>
    <w:p>
      <w:pPr>
        <w:jc w:val="center"/>
        <w:rPr>
          <w:rFonts w:hint="eastAsia" w:ascii="仿宋" w:hAnsi="仿宋" w:eastAsia="仿宋" w:cs="仿宋"/>
          <w:b/>
          <w:bCs/>
          <w:sz w:val="32"/>
          <w:szCs w:val="40"/>
        </w:rPr>
      </w:pPr>
      <w:r>
        <w:rPr>
          <w:rFonts w:hint="eastAsia" w:ascii="仿宋" w:hAnsi="仿宋" w:eastAsia="仿宋" w:cs="仿宋"/>
          <w:b/>
          <w:bCs/>
          <w:sz w:val="32"/>
          <w:szCs w:val="40"/>
        </w:rPr>
        <w:t>银行类评选指标</w:t>
      </w:r>
    </w:p>
    <w:bookmarkEnd w:id="0"/>
    <w:p>
      <w:pPr>
        <w:jc w:val="center"/>
        <w:rPr>
          <w:rFonts w:hint="eastAsia" w:ascii="仿宋" w:hAnsi="仿宋" w:eastAsia="仿宋" w:cs="仿宋"/>
          <w:sz w:val="28"/>
          <w:szCs w:val="36"/>
        </w:rPr>
      </w:pPr>
      <w:r>
        <w:rPr>
          <w:rFonts w:hint="eastAsia" w:ascii="仿宋" w:hAnsi="仿宋" w:eastAsia="仿宋" w:cs="仿宋"/>
          <w:sz w:val="28"/>
          <w:szCs w:val="36"/>
        </w:rPr>
        <w:t>（数据统计周期：2016年1月1日至2018年12月31日）</w:t>
      </w:r>
    </w:p>
    <w:p>
      <w:pPr>
        <w:rPr>
          <w:rFonts w:hint="eastAsia" w:ascii="仿宋" w:hAnsi="仿宋" w:eastAsia="仿宋" w:cs="仿宋"/>
          <w:b/>
          <w:bCs/>
          <w:sz w:val="32"/>
          <w:szCs w:val="40"/>
        </w:rPr>
      </w:pPr>
      <w:r>
        <w:rPr>
          <w:rFonts w:hint="eastAsia" w:ascii="仿宋" w:hAnsi="仿宋" w:eastAsia="仿宋" w:cs="仿宋"/>
          <w:b/>
          <w:bCs/>
          <w:sz w:val="32"/>
          <w:szCs w:val="40"/>
        </w:rPr>
        <w:t>一、基本原则</w:t>
      </w:r>
    </w:p>
    <w:p>
      <w:pPr>
        <w:numPr>
          <w:ilvl w:val="0"/>
          <w:numId w:val="1"/>
        </w:numPr>
        <w:rPr>
          <w:rFonts w:hint="eastAsia" w:ascii="仿宋" w:hAnsi="仿宋" w:eastAsia="仿宋" w:cs="仿宋"/>
          <w:sz w:val="32"/>
          <w:szCs w:val="40"/>
        </w:rPr>
      </w:pPr>
      <w:r>
        <w:rPr>
          <w:rFonts w:hint="eastAsia" w:ascii="仿宋" w:hAnsi="仿宋" w:eastAsia="仿宋" w:cs="仿宋"/>
          <w:sz w:val="32"/>
          <w:szCs w:val="40"/>
        </w:rPr>
        <w:t>对参与机构不设立评级门槛</w:t>
      </w:r>
    </w:p>
    <w:p>
      <w:pPr>
        <w:numPr>
          <w:ilvl w:val="0"/>
          <w:numId w:val="1"/>
        </w:numPr>
        <w:rPr>
          <w:rFonts w:hint="eastAsia" w:ascii="仿宋" w:hAnsi="仿宋" w:eastAsia="仿宋" w:cs="仿宋"/>
          <w:sz w:val="32"/>
          <w:szCs w:val="40"/>
        </w:rPr>
      </w:pPr>
      <w:r>
        <w:rPr>
          <w:rFonts w:hint="eastAsia" w:ascii="仿宋" w:hAnsi="仿宋" w:eastAsia="仿宋" w:cs="仿宋"/>
          <w:sz w:val="32"/>
          <w:szCs w:val="40"/>
        </w:rPr>
        <w:t>鼓励参与机构向县域民营经济倾斜</w:t>
      </w:r>
    </w:p>
    <w:p>
      <w:pPr>
        <w:numPr>
          <w:ilvl w:val="0"/>
          <w:numId w:val="1"/>
        </w:numPr>
        <w:rPr>
          <w:rFonts w:hint="eastAsia" w:ascii="仿宋" w:hAnsi="仿宋" w:eastAsia="仿宋" w:cs="仿宋"/>
          <w:sz w:val="32"/>
          <w:szCs w:val="40"/>
        </w:rPr>
      </w:pPr>
      <w:r>
        <w:rPr>
          <w:rFonts w:hint="eastAsia" w:ascii="仿宋" w:hAnsi="仿宋" w:eastAsia="仿宋" w:cs="仿宋"/>
          <w:sz w:val="32"/>
          <w:szCs w:val="40"/>
        </w:rPr>
        <w:t>参评单位：在自治区内设立机构的各家政策性银行、商业银行、股份制银行、城商行、农商行、信用社及其分支机构等银行业金融机构</w:t>
      </w:r>
    </w:p>
    <w:p>
      <w:pPr>
        <w:numPr>
          <w:ilvl w:val="0"/>
          <w:numId w:val="1"/>
        </w:numPr>
        <w:rPr>
          <w:rFonts w:hint="eastAsia" w:ascii="仿宋" w:hAnsi="仿宋" w:eastAsia="仿宋" w:cs="仿宋"/>
          <w:sz w:val="32"/>
          <w:szCs w:val="40"/>
        </w:rPr>
      </w:pPr>
      <w:r>
        <w:rPr>
          <w:rFonts w:hint="eastAsia" w:ascii="仿宋" w:hAnsi="仿宋" w:eastAsia="仿宋" w:cs="仿宋"/>
          <w:sz w:val="32"/>
          <w:szCs w:val="40"/>
        </w:rPr>
        <w:t>实施范围：以内蒙古自治区县域金融工程试点地区的民营经济主体为主</w:t>
      </w:r>
    </w:p>
    <w:p>
      <w:pPr>
        <w:rPr>
          <w:rFonts w:hint="eastAsia" w:ascii="仿宋" w:hAnsi="仿宋" w:eastAsia="仿宋" w:cs="仿宋"/>
          <w:b/>
          <w:bCs/>
          <w:sz w:val="32"/>
          <w:szCs w:val="40"/>
        </w:rPr>
      </w:pPr>
      <w:r>
        <w:rPr>
          <w:rFonts w:hint="eastAsia" w:ascii="仿宋" w:hAnsi="仿宋" w:eastAsia="仿宋" w:cs="仿宋"/>
          <w:b/>
          <w:bCs/>
          <w:sz w:val="32"/>
          <w:szCs w:val="40"/>
        </w:rPr>
        <w:t>二、奖项设置和评选标准</w:t>
      </w:r>
    </w:p>
    <w:p>
      <w:pPr>
        <w:rPr>
          <w:rFonts w:hint="eastAsia" w:ascii="仿宋" w:hAnsi="仿宋" w:eastAsia="仿宋" w:cs="仿宋"/>
          <w:sz w:val="32"/>
          <w:szCs w:val="40"/>
        </w:rPr>
      </w:pPr>
      <w:r>
        <w:rPr>
          <w:rFonts w:hint="eastAsia" w:ascii="仿宋" w:hAnsi="仿宋" w:eastAsia="仿宋" w:cs="仿宋"/>
          <w:sz w:val="32"/>
          <w:szCs w:val="40"/>
        </w:rPr>
        <w:t>1. 突出贡献奖</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按照参评单位在评选地区期末的贷款余额、累放额、贷款增长率和不良贷款率作为评选依据的数据基础。</w:t>
      </w:r>
    </w:p>
    <w:p>
      <w:pPr>
        <w:numPr>
          <w:ilvl w:val="0"/>
          <w:numId w:val="2"/>
        </w:numPr>
        <w:rPr>
          <w:rFonts w:hint="eastAsia" w:ascii="仿宋" w:hAnsi="仿宋" w:eastAsia="仿宋" w:cs="仿宋"/>
          <w:sz w:val="32"/>
          <w:szCs w:val="40"/>
        </w:rPr>
      </w:pPr>
      <w:r>
        <w:rPr>
          <w:rFonts w:hint="eastAsia" w:ascii="仿宋" w:hAnsi="仿宋" w:eastAsia="仿宋" w:cs="仿宋"/>
          <w:sz w:val="32"/>
          <w:szCs w:val="40"/>
        </w:rPr>
        <w:t>普惠金融奖</w:t>
      </w:r>
    </w:p>
    <w:p>
      <w:pPr>
        <w:rPr>
          <w:rFonts w:hint="eastAsia" w:ascii="仿宋" w:hAnsi="仿宋" w:eastAsia="仿宋" w:cs="仿宋"/>
          <w:sz w:val="32"/>
          <w:szCs w:val="40"/>
        </w:rPr>
      </w:pPr>
      <w:r>
        <w:rPr>
          <w:rFonts w:hint="eastAsia" w:ascii="仿宋" w:hAnsi="仿宋" w:eastAsia="仿宋" w:cs="仿宋"/>
          <w:sz w:val="32"/>
          <w:szCs w:val="40"/>
        </w:rPr>
        <w:t xml:space="preserve">   按照参评单位在评选地区所开展的贷款余额、贷款户数增长率和不良贷款率作为评选依据的数据基础</w:t>
      </w:r>
    </w:p>
    <w:p>
      <w:pPr>
        <w:numPr>
          <w:ilvl w:val="0"/>
          <w:numId w:val="2"/>
        </w:numPr>
        <w:rPr>
          <w:rFonts w:hint="eastAsia" w:ascii="仿宋" w:hAnsi="仿宋" w:eastAsia="仿宋" w:cs="仿宋"/>
          <w:sz w:val="32"/>
          <w:szCs w:val="40"/>
        </w:rPr>
      </w:pPr>
      <w:r>
        <w:rPr>
          <w:rFonts w:hint="eastAsia" w:ascii="仿宋" w:hAnsi="仿宋" w:eastAsia="仿宋" w:cs="仿宋"/>
          <w:sz w:val="32"/>
          <w:szCs w:val="40"/>
        </w:rPr>
        <w:t>产品服务创新奖</w:t>
      </w:r>
    </w:p>
    <w:p>
      <w:pPr>
        <w:rPr>
          <w:rFonts w:hint="eastAsia" w:ascii="仿宋" w:hAnsi="仿宋" w:eastAsia="仿宋" w:cs="仿宋"/>
          <w:color w:val="FF0000"/>
          <w:sz w:val="32"/>
          <w:szCs w:val="40"/>
        </w:rPr>
      </w:pPr>
      <w:r>
        <w:rPr>
          <w:rFonts w:hint="eastAsia" w:ascii="仿宋" w:hAnsi="仿宋" w:eastAsia="仿宋" w:cs="仿宋"/>
          <w:sz w:val="32"/>
          <w:szCs w:val="40"/>
        </w:rPr>
        <w:t xml:space="preserve">   按照参评单位在评选地区所开展的各项创新产品及服务进行评选，要求参评单位在基于小微信贷的特点，设计理念和操作流程具有创新性，能够有效满足小微企业客户需求，产品和服务在商业上可持续，可复制推广，可以批量化、规模化和标准化操作。</w:t>
      </w:r>
    </w:p>
    <w:p>
      <w:pPr>
        <w:rPr>
          <w:rFonts w:hint="eastAsia" w:ascii="仿宋" w:hAnsi="仿宋" w:eastAsia="仿宋" w:cs="仿宋"/>
          <w:sz w:val="32"/>
          <w:szCs w:val="40"/>
        </w:rPr>
      </w:pPr>
      <w:r>
        <w:rPr>
          <w:rFonts w:hint="eastAsia" w:ascii="仿宋" w:hAnsi="仿宋" w:eastAsia="仿宋" w:cs="仿宋"/>
          <w:sz w:val="32"/>
          <w:szCs w:val="40"/>
        </w:rPr>
        <w:t>4.</w:t>
      </w:r>
      <w:r>
        <w:rPr>
          <w:rFonts w:hint="eastAsia"/>
        </w:rPr>
        <w:t xml:space="preserve"> </w:t>
      </w:r>
      <w:r>
        <w:rPr>
          <w:rFonts w:hint="eastAsia" w:ascii="仿宋" w:hAnsi="仿宋" w:eastAsia="仿宋" w:cs="仿宋"/>
          <w:sz w:val="32"/>
          <w:szCs w:val="40"/>
        </w:rPr>
        <w:t>支持民营经济案例奖</w:t>
      </w:r>
    </w:p>
    <w:p>
      <w:pPr>
        <w:ind w:firstLine="640"/>
        <w:rPr>
          <w:rFonts w:hint="eastAsia" w:ascii="仿宋" w:hAnsi="仿宋" w:eastAsia="仿宋" w:cs="仿宋"/>
          <w:sz w:val="32"/>
          <w:szCs w:val="40"/>
        </w:rPr>
      </w:pPr>
      <w:r>
        <w:rPr>
          <w:rFonts w:hint="eastAsia" w:ascii="仿宋" w:hAnsi="仿宋" w:eastAsia="仿宋" w:cs="仿宋"/>
          <w:sz w:val="32"/>
          <w:szCs w:val="40"/>
        </w:rPr>
        <w:t>按照参评单位报送在评选地区所开展的各项扶持民营经济的典型案例进行择优评选，由各参评单位提交2000字以内文字申报材料详细阐述，同一参评单位可报送多个案例。</w:t>
      </w:r>
    </w:p>
    <w:p>
      <w:pPr>
        <w:rPr>
          <w:rFonts w:hint="eastAsia" w:ascii="仿宋" w:hAnsi="仿宋" w:eastAsia="仿宋" w:cs="仿宋"/>
          <w:sz w:val="32"/>
          <w:szCs w:val="40"/>
        </w:rPr>
      </w:pPr>
    </w:p>
    <w:p>
      <w:pPr>
        <w:rPr>
          <w:rFonts w:hint="eastAsia" w:ascii="仿宋" w:hAnsi="仿宋" w:eastAsia="仿宋" w:cs="仿宋"/>
          <w:sz w:val="32"/>
          <w:szCs w:val="40"/>
        </w:rPr>
      </w:pPr>
    </w:p>
    <w:p>
      <w:pPr>
        <w:rPr>
          <w:rFonts w:hint="eastAsia" w:ascii="仿宋" w:hAnsi="仿宋" w:eastAsia="仿宋" w:cs="仿宋"/>
          <w:sz w:val="32"/>
          <w:szCs w:val="40"/>
        </w:rPr>
      </w:pPr>
    </w:p>
    <w:p>
      <w:pPr>
        <w:rPr>
          <w:rFonts w:hint="eastAsia" w:ascii="仿宋" w:hAnsi="仿宋" w:eastAsia="仿宋" w:cs="仿宋"/>
          <w:sz w:val="32"/>
          <w:szCs w:val="40"/>
        </w:rPr>
      </w:pPr>
    </w:p>
    <w:p>
      <w:pPr>
        <w:rPr>
          <w:rFonts w:hint="eastAsia" w:ascii="仿宋" w:hAnsi="仿宋" w:eastAsia="仿宋" w:cs="仿宋"/>
          <w:sz w:val="32"/>
          <w:szCs w:val="40"/>
        </w:rPr>
      </w:pPr>
    </w:p>
    <w:p>
      <w:pPr>
        <w:rPr>
          <w:rFonts w:hint="eastAsia" w:ascii="仿宋" w:hAnsi="仿宋" w:eastAsia="仿宋" w:cs="仿宋"/>
          <w:sz w:val="32"/>
          <w:szCs w:val="40"/>
        </w:rPr>
      </w:pPr>
    </w:p>
    <w:p>
      <w:pPr>
        <w:rPr>
          <w:rFonts w:hint="eastAsia" w:ascii="仿宋" w:hAnsi="仿宋" w:eastAsia="仿宋" w:cs="仿宋"/>
          <w:sz w:val="32"/>
          <w:szCs w:val="40"/>
        </w:rPr>
      </w:pPr>
    </w:p>
    <w:p/>
    <w:sectPr>
      <w:headerReference r:id="rId3" w:type="default"/>
      <w:footerReference r:id="rId4" w:type="default"/>
      <w:pgSz w:w="11906" w:h="16838"/>
      <w:pgMar w:top="1440" w:right="1803" w:bottom="1440" w:left="1803" w:header="851" w:footer="992" w:gutter="0"/>
      <w:cols w:space="72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9F82B"/>
    <w:multiLevelType w:val="singleLevel"/>
    <w:tmpl w:val="F169F82B"/>
    <w:lvl w:ilvl="0" w:tentative="0">
      <w:start w:val="1"/>
      <w:numFmt w:val="decimal"/>
      <w:suff w:val="space"/>
      <w:lvlText w:val="%1."/>
      <w:lvlJc w:val="left"/>
    </w:lvl>
  </w:abstractNum>
  <w:abstractNum w:abstractNumId="1">
    <w:nsid w:val="2337FBA5"/>
    <w:multiLevelType w:val="singleLevel"/>
    <w:tmpl w:val="2337FBA5"/>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D3D28"/>
    <w:rsid w:val="502E6863"/>
    <w:rsid w:val="6D535020"/>
    <w:rsid w:val="7D0D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2019-01-04T07:36:00Z</dcterms:created>
  <dc:creator>lenovo</dc:creator>
  <cp:lastModifiedBy>lenovo</cp:lastModifiedBy>
  <dcterms:modified xsi:type="dcterms:W3CDTF">2019-01-04T07:53:51Z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